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D9" w:rsidRDefault="00362337" w:rsidP="00362337">
      <w:pPr>
        <w:jc w:val="center"/>
        <w:rPr>
          <w:sz w:val="28"/>
        </w:rPr>
      </w:pPr>
      <w:r w:rsidRPr="00362337">
        <w:rPr>
          <w:sz w:val="28"/>
        </w:rPr>
        <w:t>Relatório de Ações de Correção e de Mitig</w:t>
      </w:r>
      <w:r w:rsidR="004E25D9">
        <w:rPr>
          <w:sz w:val="28"/>
        </w:rPr>
        <w:t>ação de Perturbações Elétricas</w:t>
      </w:r>
    </w:p>
    <w:p w:rsidR="00362337" w:rsidRPr="00362337" w:rsidRDefault="00362337" w:rsidP="00362337">
      <w:pPr>
        <w:jc w:val="center"/>
        <w:rPr>
          <w:sz w:val="28"/>
        </w:rPr>
      </w:pPr>
      <w:r w:rsidRPr="00362337">
        <w:rPr>
          <w:sz w:val="28"/>
        </w:rPr>
        <w:t xml:space="preserve"> </w:t>
      </w:r>
      <w:r w:rsidRPr="00C25158">
        <w:rPr>
          <w:b/>
          <w:sz w:val="28"/>
        </w:rPr>
        <w:t>RAMPE</w:t>
      </w:r>
    </w:p>
    <w:p w:rsidR="00863C17" w:rsidRDefault="00863C17" w:rsidP="00863C17">
      <w:pPr>
        <w:keepNext/>
        <w:keepLines/>
        <w:spacing w:after="480"/>
        <w:jc w:val="both"/>
      </w:pPr>
    </w:p>
    <w:p w:rsidR="00863C17" w:rsidRPr="00316499" w:rsidRDefault="00863C17" w:rsidP="00863C17">
      <w:pPr>
        <w:keepNext/>
        <w:keepLines/>
        <w:spacing w:after="480"/>
        <w:jc w:val="both"/>
      </w:pPr>
      <w:r w:rsidRPr="00316499">
        <w:t>___________________, _____de __________________de 202__</w:t>
      </w:r>
    </w:p>
    <w:p w:rsidR="00863C17" w:rsidRPr="00316499" w:rsidRDefault="00863C17" w:rsidP="00863C17">
      <w:pPr>
        <w:keepNext/>
        <w:keepLines/>
        <w:spacing w:after="120"/>
        <w:jc w:val="both"/>
      </w:pPr>
      <w:r w:rsidRPr="00316499">
        <w:t>Às Centrais Elétricas de Santa Catarina S.A. – Celesc</w:t>
      </w:r>
    </w:p>
    <w:p w:rsidR="00863C17" w:rsidRPr="00316499" w:rsidRDefault="00863C17" w:rsidP="00863C17">
      <w:pPr>
        <w:keepNext/>
        <w:keepLines/>
        <w:spacing w:after="120"/>
        <w:jc w:val="both"/>
        <w:rPr>
          <w:b/>
        </w:rPr>
      </w:pPr>
      <w:r w:rsidRPr="00316499">
        <w:t>(Agência Regional na qual o empreendimento está localizado)</w:t>
      </w:r>
    </w:p>
    <w:p w:rsidR="00863C17" w:rsidRPr="00316499" w:rsidRDefault="00863C17" w:rsidP="00863C17">
      <w:pPr>
        <w:keepNext/>
        <w:keepLines/>
        <w:spacing w:after="120"/>
        <w:jc w:val="both"/>
      </w:pPr>
      <w:r w:rsidRPr="00316499">
        <w:t>(Nome do Município) – SC</w:t>
      </w:r>
    </w:p>
    <w:p w:rsidR="00362337" w:rsidRDefault="00362337" w:rsidP="00362337"/>
    <w:p w:rsidR="00362337" w:rsidRDefault="00863C17" w:rsidP="00362337">
      <w:pPr>
        <w:jc w:val="both"/>
      </w:pPr>
      <w:r>
        <w:t>O empreendimento ___________________</w:t>
      </w:r>
      <w:r w:rsidR="00362337">
        <w:t xml:space="preserve"> vem, por meio desse relatório, relatar as </w:t>
      </w:r>
      <w:r>
        <w:t>C</w:t>
      </w:r>
      <w:r w:rsidR="00362337">
        <w:t xml:space="preserve">argas consideradas </w:t>
      </w:r>
      <w:r>
        <w:t>Potencialmente</w:t>
      </w:r>
      <w:r w:rsidR="00362337">
        <w:t xml:space="preserve"> </w:t>
      </w:r>
      <w:r>
        <w:t>P</w:t>
      </w:r>
      <w:r w:rsidR="00362337">
        <w:t>erturbadoras</w:t>
      </w:r>
      <w:r w:rsidR="004E25D9">
        <w:t xml:space="preserve"> (CPP)</w:t>
      </w:r>
      <w:r>
        <w:t xml:space="preserve">, conforme descrito na Instrução Normativa “I-332.0028 - </w:t>
      </w:r>
      <w:r w:rsidRPr="00362337">
        <w:t>Requisitos para Conexão de Unidade Consumidora com Carga Indicada como Potencialmente Perturbadora ao Sistema Elétrico da Celesc</w:t>
      </w:r>
      <w:r>
        <w:t>”</w:t>
      </w:r>
      <w:r w:rsidR="00476FFF">
        <w:t xml:space="preserve">, bem como as medidas já tomadas para </w:t>
      </w:r>
      <w:r w:rsidR="00202123">
        <w:t>mitigar</w:t>
      </w:r>
      <w:r w:rsidR="00476FFF">
        <w:t xml:space="preserve"> a perturbação na rede elétrica</w:t>
      </w:r>
      <w:r>
        <w:t>:</w:t>
      </w:r>
    </w:p>
    <w:p w:rsidR="00476FFF" w:rsidRDefault="00476FFF" w:rsidP="00362337">
      <w:pPr>
        <w:jc w:val="both"/>
      </w:pPr>
    </w:p>
    <w:p w:rsidR="00476FFF" w:rsidRDefault="00476FFF" w:rsidP="00362337">
      <w:pPr>
        <w:jc w:val="both"/>
      </w:pPr>
      <w:r>
        <w:t xml:space="preserve">Para unidades consumidoras com </w:t>
      </w:r>
      <w:r w:rsidR="000D2531" w:rsidRPr="000A1AC2">
        <w:t>CPP na tensão</w:t>
      </w:r>
      <w:r>
        <w:t xml:space="preserve"> </w:t>
      </w:r>
      <w:r w:rsidRPr="004E25D9">
        <w:rPr>
          <w:b/>
        </w:rPr>
        <w:t>superior a 2,3kV até 34,5kV</w:t>
      </w:r>
      <w: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268"/>
      </w:tblGrid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Pr="00316499" w:rsidRDefault="004E25D9" w:rsidP="00AC157A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20"/>
              </w:rPr>
            </w:pPr>
            <w:r>
              <w:t>Motores elétricos em geral com potência igual ou superior a 50 CV (38 kW);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E25D9" w:rsidRPr="00AC157A" w:rsidRDefault="00AC157A" w:rsidP="006B46DE">
            <w:pPr>
              <w:keepNext/>
              <w:keepLines/>
              <w:spacing w:after="0"/>
              <w:jc w:val="center"/>
            </w:pPr>
            <w:proofErr w:type="spellStart"/>
            <w:r>
              <w:t>Ex</w:t>
            </w:r>
            <w:proofErr w:type="spellEnd"/>
            <w:r>
              <w:t xml:space="preserve">: </w:t>
            </w:r>
            <w:r w:rsidRPr="00AC157A">
              <w:t>4 motores de 50CV</w:t>
            </w: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Pr="004E25D9" w:rsidRDefault="004E25D9" w:rsidP="00AC157A">
            <w:pPr>
              <w:spacing w:after="0"/>
              <w:jc w:val="both"/>
            </w:pPr>
            <w:r>
              <w:t>Motores elétricos em geral de laminador de siderurgia ou para tração elétrica, com potência em CV (kW) igual ou superior a 5,0% da potência em kVA do transformador alimentador dos motores;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R</w:t>
            </w:r>
            <w:r w:rsidRPr="00863C17">
              <w:t>etificadores, controlados ou não com potência igual ou superior a 150 kW;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F</w:t>
            </w:r>
            <w:r w:rsidRPr="00863C17">
              <w:t>ornos elétricos de indução de alta frequência ou controlados por reator saturado ou com compensação através de capacitores e também fornos a arco voltaico, com potência igual ou superior a 100 kVA;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M</w:t>
            </w:r>
            <w:r w:rsidRPr="00863C17">
              <w:t>áquinas de solda, relacionada a máquinas constituídas de um gerador de corrente contínua, acoplado por um motor de corrente alternada com potência nominal igual ou superior a 50 kVA;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T</w:t>
            </w:r>
            <w:r w:rsidRPr="00863C17">
              <w:t>ransformador ou regulador de tensão com núcleo saturado com potência igual ou superior a 500 kVA;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 w:rsidRPr="00863C17">
              <w:t>Compensador eletrônico de tensão ou do tipo reator a núcleo saturado compensando máquinas elétricas com potências iguais ou superiores a 50 CV (38 kW);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 w:rsidRPr="00863C17">
              <w:lastRenderedPageBreak/>
              <w:t>Conversor eletrônico de tensão compensando máquinas elétricas com potência em CV (kW) igual ou superior a 5,0% da potência em kVA do transformador alimentador do conversor;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863C17" w:rsidRPr="00316499" w:rsidTr="00AC157A">
        <w:tc>
          <w:tcPr>
            <w:tcW w:w="6232" w:type="dxa"/>
            <w:shd w:val="pct5" w:color="auto" w:fill="FFFFFF"/>
          </w:tcPr>
          <w:p w:rsidR="00863C17" w:rsidRPr="00202123" w:rsidRDefault="00863C17" w:rsidP="00AC157A">
            <w:pPr>
              <w:spacing w:after="0"/>
              <w:jc w:val="both"/>
            </w:pPr>
            <w:r w:rsidRPr="00202123">
              <w:t>Bancos de capacitores para correção de fator de potência ligados em tensão superior a 2,3 kV;</w:t>
            </w:r>
          </w:p>
        </w:tc>
        <w:tc>
          <w:tcPr>
            <w:tcW w:w="2268" w:type="dxa"/>
            <w:vAlign w:val="center"/>
          </w:tcPr>
          <w:p w:rsidR="00863C17" w:rsidRPr="00AC157A" w:rsidRDefault="00863C17" w:rsidP="00AC157A">
            <w:pPr>
              <w:keepNext/>
              <w:keepLines/>
              <w:spacing w:after="0"/>
              <w:jc w:val="center"/>
            </w:pPr>
          </w:p>
        </w:tc>
      </w:tr>
      <w:tr w:rsidR="00863C17" w:rsidRPr="00316499" w:rsidTr="00AC157A">
        <w:tc>
          <w:tcPr>
            <w:tcW w:w="6232" w:type="dxa"/>
            <w:shd w:val="pct5" w:color="auto" w:fill="FFFFFF"/>
          </w:tcPr>
          <w:p w:rsidR="00863C17" w:rsidRPr="00202123" w:rsidRDefault="00863C17" w:rsidP="00AC157A">
            <w:pPr>
              <w:spacing w:after="0"/>
              <w:jc w:val="both"/>
            </w:pPr>
            <w:r w:rsidRPr="00202123">
              <w:t>Minigeração distribuída com utilização de inversor (superior a 75 kVA e inferior a 3000 kVA);</w:t>
            </w:r>
          </w:p>
        </w:tc>
        <w:tc>
          <w:tcPr>
            <w:tcW w:w="2268" w:type="dxa"/>
            <w:vAlign w:val="center"/>
          </w:tcPr>
          <w:p w:rsidR="00863C17" w:rsidRPr="00AC157A" w:rsidRDefault="00863C17" w:rsidP="00AC157A">
            <w:pPr>
              <w:keepNext/>
              <w:keepLines/>
              <w:spacing w:after="0"/>
              <w:jc w:val="center"/>
            </w:pPr>
          </w:p>
        </w:tc>
      </w:tr>
      <w:tr w:rsidR="00863C17" w:rsidRPr="00316499" w:rsidTr="00AC157A">
        <w:tc>
          <w:tcPr>
            <w:tcW w:w="6232" w:type="dxa"/>
            <w:shd w:val="pct5" w:color="auto" w:fill="FFFFFF"/>
          </w:tcPr>
          <w:p w:rsidR="00863C17" w:rsidRPr="00202123" w:rsidRDefault="00863C17" w:rsidP="00AC157A">
            <w:pPr>
              <w:spacing w:after="0"/>
              <w:jc w:val="both"/>
            </w:pPr>
            <w:r w:rsidRPr="00202123">
              <w:t>Autoprodutor de energia elétrica com utilização de inversor e capacidade insta</w:t>
            </w:r>
            <w:r w:rsidR="00202123" w:rsidRPr="00202123">
              <w:t>lada superior a 100 kVA;</w:t>
            </w:r>
          </w:p>
        </w:tc>
        <w:tc>
          <w:tcPr>
            <w:tcW w:w="2268" w:type="dxa"/>
            <w:vAlign w:val="center"/>
          </w:tcPr>
          <w:p w:rsidR="00863C17" w:rsidRPr="00AC157A" w:rsidRDefault="00863C17" w:rsidP="00AC157A">
            <w:pPr>
              <w:keepNext/>
              <w:keepLines/>
              <w:spacing w:after="0"/>
              <w:jc w:val="center"/>
            </w:pPr>
          </w:p>
        </w:tc>
      </w:tr>
      <w:tr w:rsidR="00202123" w:rsidRPr="00316499" w:rsidTr="00AC157A">
        <w:tc>
          <w:tcPr>
            <w:tcW w:w="6232" w:type="dxa"/>
            <w:shd w:val="pct5" w:color="auto" w:fill="FFFFFF"/>
          </w:tcPr>
          <w:p w:rsidR="00202123" w:rsidRDefault="00202123" w:rsidP="00AC157A">
            <w:pPr>
              <w:spacing w:after="0"/>
              <w:jc w:val="both"/>
            </w:pPr>
            <w:r>
              <w:t>Outra carga com possibilidade de ser potencialmente perturbadora;</w:t>
            </w:r>
          </w:p>
        </w:tc>
        <w:tc>
          <w:tcPr>
            <w:tcW w:w="2268" w:type="dxa"/>
            <w:vAlign w:val="center"/>
          </w:tcPr>
          <w:p w:rsidR="00202123" w:rsidRPr="00AC157A" w:rsidRDefault="00202123" w:rsidP="00AC157A">
            <w:pPr>
              <w:keepNext/>
              <w:keepLines/>
              <w:spacing w:after="0"/>
              <w:jc w:val="center"/>
            </w:pPr>
          </w:p>
        </w:tc>
      </w:tr>
    </w:tbl>
    <w:p w:rsidR="00476FFF" w:rsidRDefault="00476FFF" w:rsidP="00476FFF">
      <w:pPr>
        <w:jc w:val="both"/>
      </w:pPr>
    </w:p>
    <w:p w:rsidR="004E25D9" w:rsidRDefault="004E25D9" w:rsidP="00476FFF">
      <w:pPr>
        <w:jc w:val="both"/>
      </w:pPr>
      <w:r>
        <w:t>Considerando as cargas identificadas como CPP</w:t>
      </w:r>
      <w:r w:rsidR="00AC157A">
        <w:t>, relata-se</w:t>
      </w:r>
      <w:r>
        <w:t xml:space="preserve"> quais medidas foram tomadas para mitigar as perturbações elétricas causadas pela conexão e energização</w:t>
      </w:r>
      <w:r w:rsidR="004C7F67">
        <w:t xml:space="preserve"> dessas cargas na rede elétrica:</w:t>
      </w:r>
      <w:bookmarkStart w:id="0" w:name="_GoBack"/>
      <w:bookmarkEnd w:id="0"/>
    </w:p>
    <w:p w:rsidR="00863C17" w:rsidRDefault="00863C17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1;</w:t>
      </w:r>
    </w:p>
    <w:p w:rsidR="00863C17" w:rsidRDefault="00863C17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2;</w:t>
      </w:r>
    </w:p>
    <w:p w:rsidR="00863C17" w:rsidRDefault="00863C17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3;</w:t>
      </w:r>
    </w:p>
    <w:p w:rsidR="00863C17" w:rsidRDefault="003131BA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N.</w:t>
      </w:r>
    </w:p>
    <w:p w:rsidR="00CC1E6D" w:rsidRDefault="00CC1E6D" w:rsidP="00863C17">
      <w:pPr>
        <w:jc w:val="both"/>
      </w:pPr>
    </w:p>
    <w:p w:rsidR="00CC1E6D" w:rsidRDefault="00CC1E6D" w:rsidP="00CC1E6D">
      <w:pPr>
        <w:jc w:val="both"/>
      </w:pPr>
      <w:r>
        <w:t xml:space="preserve">Para unidades consumidoras </w:t>
      </w:r>
      <w:r w:rsidRPr="000A1AC2">
        <w:t xml:space="preserve">com </w:t>
      </w:r>
      <w:r w:rsidR="000D2531" w:rsidRPr="000A1AC2">
        <w:t>CPP na tensão</w:t>
      </w:r>
      <w:r w:rsidR="000D2531">
        <w:t xml:space="preserve"> </w:t>
      </w:r>
      <w:r>
        <w:rPr>
          <w:b/>
        </w:rPr>
        <w:t>superior a 34,5kV até 138</w:t>
      </w:r>
      <w:r w:rsidRPr="004E25D9">
        <w:rPr>
          <w:b/>
        </w:rPr>
        <w:t>kV</w:t>
      </w:r>
      <w: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268"/>
      </w:tblGrid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316499" w:rsidRDefault="00CC1E6D" w:rsidP="00AC157A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8425E0">
              <w:t>Motores elétricos em geral com potência igual ou superior a 150 CV (115 kW);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E6D" w:rsidRPr="006B46DE" w:rsidRDefault="00AC157A" w:rsidP="006B46DE">
            <w:pPr>
              <w:keepNext/>
              <w:keepLines/>
              <w:spacing w:after="0"/>
              <w:jc w:val="center"/>
            </w:pPr>
            <w:proofErr w:type="spellStart"/>
            <w:r w:rsidRPr="006B46DE">
              <w:t>Ex</w:t>
            </w:r>
            <w:proofErr w:type="spellEnd"/>
            <w:r w:rsidRPr="006B46DE">
              <w:t>: 2 motores de 200CV</w:t>
            </w: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4E25D9" w:rsidRDefault="00CC1E6D" w:rsidP="00AC157A">
            <w:pPr>
              <w:spacing w:after="0"/>
              <w:jc w:val="both"/>
            </w:pPr>
            <w:r w:rsidRPr="00CC1E6D">
              <w:t>Motores elétricos em geral de laminador de siderurgia ou para tração elétrica com potência em CV (kW) igual ou superior a 5,0% da potência em kVA do transformador alimentador dos motores;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Retificadores controlados ou não com potência igual ou superior a 300 kW;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Fornos elétricos de indução de alta frequência ou controlados por reator saturado ou com compensação através de capacitores e também fornos a arco voltaico, com potência igual ou superior a 1000 kVA (900 kW);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Máquinas de solda, relacionadas a máquinas constituídas de um gerador de corrente contínua, acoplado por um motor de corrente alternada com potência nominal igual ou superior a 150 kVA (135 kW);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Transformador ou regulador de tensão com núcleo saturado com potência igual ou superior a 500 kVA;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Compensador eletrônico de tensão ou do tipo reator a núcleo saturado, compensando máquinas elétricas com potências iguais ou superiores a 150 CV (115 kW);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lastRenderedPageBreak/>
              <w:t>Conversor eletrônico de tensão compensando máquinas elétricas com potência em CV (kW) igual ou superior a 5,0% da potência em kVA do transformador alimentador do conversor;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202123" w:rsidRDefault="00CC1E6D" w:rsidP="00AC157A">
            <w:pPr>
              <w:spacing w:after="0"/>
              <w:jc w:val="both"/>
            </w:pPr>
            <w:r w:rsidRPr="00CC1E6D">
              <w:t>Bancos de capacitores para correção de fator de potência ligados em tensão superior a 1 kV;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202123" w:rsidRDefault="00CC1E6D" w:rsidP="00AC157A">
            <w:pPr>
              <w:spacing w:after="0"/>
              <w:jc w:val="both"/>
            </w:pPr>
            <w:r w:rsidRPr="00CC1E6D">
              <w:t>Minigeração distribuída com utilização de inversor (superior a 75 kVA e inferior a 3000 kVA);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202123" w:rsidRDefault="00CC1E6D" w:rsidP="00AC157A">
            <w:pPr>
              <w:spacing w:after="0"/>
              <w:jc w:val="both"/>
            </w:pPr>
            <w:r w:rsidRPr="00CC1E6D">
              <w:t>Autoprodutor de energia elétrica com utilização de inversor e capacidade instalada superior a 100 kVA.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>
              <w:t>Outra carga com possibilidade de ser potencialmente perturbadora;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</w:tbl>
    <w:p w:rsidR="00CC1E6D" w:rsidRDefault="00CC1E6D" w:rsidP="00CC1E6D">
      <w:pPr>
        <w:jc w:val="both"/>
      </w:pPr>
    </w:p>
    <w:p w:rsidR="00CC1E6D" w:rsidRDefault="00CC1E6D" w:rsidP="00CC1E6D">
      <w:pPr>
        <w:jc w:val="both"/>
      </w:pPr>
      <w:r>
        <w:t xml:space="preserve">Considerando as cargas identificadas como CPP, </w:t>
      </w:r>
      <w:r w:rsidR="004C7F67">
        <w:t xml:space="preserve">relata-se </w:t>
      </w:r>
      <w:r>
        <w:t>quais medidas foram tomadas para mitigar as perturbações elétricas causadas pela conexão e energização</w:t>
      </w:r>
      <w:r w:rsidR="004C7F67">
        <w:t xml:space="preserve"> dessas cargas na rede elétrica:</w:t>
      </w:r>
    </w:p>
    <w:p w:rsidR="00CC1E6D" w:rsidRDefault="00CC1E6D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1;</w:t>
      </w:r>
    </w:p>
    <w:p w:rsidR="00CC1E6D" w:rsidRDefault="00CC1E6D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2;</w:t>
      </w:r>
    </w:p>
    <w:p w:rsidR="00CC1E6D" w:rsidRDefault="00CC1E6D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3;</w:t>
      </w:r>
    </w:p>
    <w:p w:rsidR="00CC1E6D" w:rsidRDefault="003131BA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N.</w:t>
      </w:r>
    </w:p>
    <w:p w:rsidR="00CC1E6D" w:rsidRDefault="00CC1E6D" w:rsidP="00863C17">
      <w:pPr>
        <w:jc w:val="both"/>
      </w:pPr>
    </w:p>
    <w:p w:rsidR="00CC1E6D" w:rsidRDefault="00AB2345" w:rsidP="00863C17">
      <w:pPr>
        <w:jc w:val="both"/>
      </w:pPr>
      <w:r>
        <w:t>Também informa</w:t>
      </w:r>
      <w:r w:rsidR="00AC157A">
        <w:t>-se</w:t>
      </w:r>
      <w: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268"/>
      </w:tblGrid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Pr="00316499" w:rsidRDefault="00AB2345" w:rsidP="00AC157A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993EEC">
              <w:t>Esquema de aterramento adotado para a planta elétrica envolvendo toda a instalação, incluindo a existência de aterramento diferenciado se houver</w:t>
            </w:r>
            <w:r>
              <w:t>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Pr="004E25D9" w:rsidRDefault="00AB2345" w:rsidP="00AC157A">
            <w:pPr>
              <w:spacing w:after="0"/>
              <w:jc w:val="both"/>
            </w:pPr>
            <w:r w:rsidRPr="00AB2345">
              <w:t>Esquemas especiais de proteção, quando adotados esquemas de aterramento TT ou IT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>Pontos de instalação de dispositivos de proteção contra surtos elétricos (DPS e SPDA) adotados para a planta elétrica envolvendo toda a instalação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 xml:space="preserve">Pontos de instalação de dispositivos de proteção contra </w:t>
            </w:r>
            <w:proofErr w:type="spellStart"/>
            <w:r w:rsidRPr="00AB2345">
              <w:t>sobrecorrente</w:t>
            </w:r>
            <w:proofErr w:type="spellEnd"/>
            <w:r w:rsidRPr="00AB2345">
              <w:t>, visando eliminar a possibilidade de falha interna, curto-circuito, dos dispositivos de proteção do tipo DPS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>Possíveis impactos causados no ponto de conexão pelas cargas previstas no processo produtivo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>Regime de operação de trabalho, entre os quais o número de dias por semana, período e horas por dia de utilização das cargas consideradas potencialmente perturbadoras</w:t>
            </w:r>
            <w:r>
              <w:t>;</w:t>
            </w:r>
          </w:p>
        </w:tc>
        <w:tc>
          <w:tcPr>
            <w:tcW w:w="2268" w:type="dxa"/>
          </w:tcPr>
          <w:p w:rsidR="00AC157A" w:rsidRPr="00E13BA2" w:rsidRDefault="00AC157A" w:rsidP="00E13BA2">
            <w:pPr>
              <w:keepNext/>
              <w:keepLines/>
              <w:spacing w:after="0"/>
              <w:jc w:val="center"/>
            </w:pPr>
          </w:p>
        </w:tc>
      </w:tr>
    </w:tbl>
    <w:p w:rsidR="00CC1E6D" w:rsidRDefault="00CC1E6D" w:rsidP="00863C17">
      <w:pPr>
        <w:jc w:val="both"/>
      </w:pPr>
    </w:p>
    <w:p w:rsidR="00CC1E6D" w:rsidRDefault="00CC1E6D" w:rsidP="00863C17">
      <w:pPr>
        <w:jc w:val="both"/>
      </w:pPr>
    </w:p>
    <w:p w:rsidR="00863C17" w:rsidRDefault="00202123" w:rsidP="00863C17">
      <w:pPr>
        <w:jc w:val="both"/>
      </w:pPr>
      <w:r w:rsidRPr="00202123">
        <w:lastRenderedPageBreak/>
        <w:t>Em caso de inconformidade verificada na unidade consumidora, esta deverá adotar medidas adicionais, sem as quais não será consid</w:t>
      </w:r>
      <w:r>
        <w:t>erada aprovada a conexão da CPP, de acordo com previsto no item 5.2.12 da Instrução Normativa I-332.0028.</w:t>
      </w:r>
    </w:p>
    <w:p w:rsidR="00863C17" w:rsidRDefault="00863C17" w:rsidP="00863C17">
      <w:pPr>
        <w:jc w:val="both"/>
      </w:pPr>
    </w:p>
    <w:p w:rsidR="00476FFF" w:rsidRDefault="00476FFF" w:rsidP="00476FFF">
      <w:pPr>
        <w:jc w:val="both"/>
      </w:pPr>
    </w:p>
    <w:p w:rsidR="00863C17" w:rsidRPr="00316499" w:rsidRDefault="00863C17" w:rsidP="00863C17">
      <w:pPr>
        <w:keepNext/>
        <w:keepLines/>
        <w:spacing w:after="240"/>
        <w:jc w:val="both"/>
      </w:pPr>
      <w:r w:rsidRPr="00316499">
        <w:t>Atenciosamente,</w:t>
      </w:r>
    </w:p>
    <w:p w:rsidR="00863C17" w:rsidRPr="00316499" w:rsidRDefault="00863C17" w:rsidP="00863C17">
      <w:pPr>
        <w:keepNext/>
        <w:keepLines/>
        <w:spacing w:after="480"/>
        <w:jc w:val="both"/>
      </w:pPr>
    </w:p>
    <w:p w:rsidR="00863C17" w:rsidRPr="00316499" w:rsidRDefault="00863C17" w:rsidP="00863C17">
      <w:pPr>
        <w:keepNext/>
        <w:keepLines/>
        <w:spacing w:after="120"/>
        <w:jc w:val="both"/>
      </w:pPr>
      <w:r w:rsidRPr="00316499">
        <w:t>______________________________</w:t>
      </w:r>
    </w:p>
    <w:p w:rsidR="00863C17" w:rsidRPr="00316499" w:rsidRDefault="00863C17" w:rsidP="00863C17">
      <w:pPr>
        <w:keepNext/>
        <w:keepLines/>
        <w:spacing w:after="480"/>
        <w:jc w:val="both"/>
      </w:pPr>
      <w:r w:rsidRPr="00316499">
        <w:t>Representante da empresa requerente</w:t>
      </w:r>
    </w:p>
    <w:sectPr w:rsidR="00863C17" w:rsidRPr="00316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  <w:sz w:val="24"/>
        <w:u w:val="none"/>
      </w:rPr>
    </w:lvl>
    <w:lvl w:ilvl="1">
      <w:start w:val="1"/>
      <w:numFmt w:val="decimal"/>
      <w:pStyle w:val="Ttulo2"/>
      <w:lvlText w:val="%1.%2."/>
      <w:legacy w:legacy="1" w:legacySpace="0" w:legacyIndent="737"/>
      <w:lvlJc w:val="left"/>
      <w:pPr>
        <w:ind w:left="737" w:hanging="737"/>
      </w:pPr>
      <w:rPr>
        <w:rFonts w:ascii="Times New Roman" w:hAnsi="Times New Roman" w:hint="default"/>
        <w:sz w:val="24"/>
        <w:u w:val="none"/>
      </w:rPr>
    </w:lvl>
    <w:lvl w:ilvl="2">
      <w:start w:val="1"/>
      <w:numFmt w:val="decimal"/>
      <w:pStyle w:val="Ttulo3"/>
      <w:lvlText w:val="%1.%2.%3."/>
      <w:legacy w:legacy="1" w:legacySpace="0" w:legacyIndent="907"/>
      <w:lvlJc w:val="left"/>
      <w:pPr>
        <w:ind w:left="907" w:hanging="907"/>
      </w:pPr>
      <w:rPr>
        <w:rFonts w:ascii="Times New Roman" w:hAnsi="Times New Roman" w:hint="default"/>
        <w:sz w:val="24"/>
        <w:u w:val="none"/>
      </w:rPr>
    </w:lvl>
    <w:lvl w:ilvl="3">
      <w:start w:val="1"/>
      <w:numFmt w:val="decimal"/>
      <w:pStyle w:val="Ttulo4"/>
      <w:lvlText w:val="%1.%2.%3.%4."/>
      <w:legacy w:legacy="1" w:legacySpace="0" w:legacyIndent="1077"/>
      <w:lvlJc w:val="left"/>
      <w:pPr>
        <w:ind w:left="1077" w:hanging="1077"/>
      </w:pPr>
      <w:rPr>
        <w:rFonts w:ascii="Times New Roman" w:hAnsi="Times New Roman" w:hint="default"/>
        <w:sz w:val="24"/>
        <w:u w:val="none"/>
      </w:r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996" w:hanging="708"/>
      </w:pPr>
    </w:lvl>
    <w:lvl w:ilvl="5">
      <w:start w:val="1"/>
      <w:numFmt w:val="decimal"/>
      <w:pStyle w:val="Ttulo6"/>
      <w:lvlText w:val="%1.%2.%3.%4.%5.%6."/>
      <w:legacy w:legacy="1" w:legacySpace="0" w:legacyIndent="708"/>
      <w:lvlJc w:val="left"/>
      <w:pPr>
        <w:ind w:left="4704" w:hanging="708"/>
      </w:pPr>
    </w:lvl>
    <w:lvl w:ilvl="6">
      <w:start w:val="1"/>
      <w:numFmt w:val="decimal"/>
      <w:pStyle w:val="Ttulo7"/>
      <w:lvlText w:val="%1.%2.%3.%4.%5.%6.%7."/>
      <w:legacy w:legacy="1" w:legacySpace="0" w:legacyIndent="708"/>
      <w:lvlJc w:val="left"/>
      <w:pPr>
        <w:ind w:left="5412" w:hanging="708"/>
      </w:pPr>
    </w:lvl>
    <w:lvl w:ilvl="7">
      <w:start w:val="1"/>
      <w:numFmt w:val="decimal"/>
      <w:pStyle w:val="Ttulo8"/>
      <w:lvlText w:val="%1.%2.%3.%4.%5.%6.%7.%8."/>
      <w:legacy w:legacy="1" w:legacySpace="0" w:legacyIndent="708"/>
      <w:lvlJc w:val="left"/>
      <w:pPr>
        <w:ind w:left="6120" w:hanging="708"/>
      </w:pPr>
    </w:lvl>
    <w:lvl w:ilvl="8">
      <w:start w:val="1"/>
      <w:numFmt w:val="decimal"/>
      <w:pStyle w:val="Ttulo9"/>
      <w:lvlText w:val="%1.%2.%3.%4.%5.%6.%7.%8.%9."/>
      <w:legacy w:legacy="1" w:legacySpace="0" w:legacyIndent="708"/>
      <w:lvlJc w:val="left"/>
      <w:pPr>
        <w:ind w:left="6828" w:hanging="708"/>
      </w:pPr>
    </w:lvl>
  </w:abstractNum>
  <w:abstractNum w:abstractNumId="1" w15:restartNumberingAfterBreak="0">
    <w:nsid w:val="621335B0"/>
    <w:multiLevelType w:val="hybridMultilevel"/>
    <w:tmpl w:val="B05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37"/>
    <w:rsid w:val="00040218"/>
    <w:rsid w:val="000A1AC2"/>
    <w:rsid w:val="000D2531"/>
    <w:rsid w:val="00202123"/>
    <w:rsid w:val="003131BA"/>
    <w:rsid w:val="00362337"/>
    <w:rsid w:val="00476FFF"/>
    <w:rsid w:val="004C7F67"/>
    <w:rsid w:val="004E25D9"/>
    <w:rsid w:val="00576522"/>
    <w:rsid w:val="006B46DE"/>
    <w:rsid w:val="00863C17"/>
    <w:rsid w:val="008D0DAA"/>
    <w:rsid w:val="009A5DC1"/>
    <w:rsid w:val="00AB2345"/>
    <w:rsid w:val="00AC157A"/>
    <w:rsid w:val="00C25158"/>
    <w:rsid w:val="00C46046"/>
    <w:rsid w:val="00CC1E6D"/>
    <w:rsid w:val="00CC4FFD"/>
    <w:rsid w:val="00CC7A07"/>
    <w:rsid w:val="00E057D2"/>
    <w:rsid w:val="00E13BA2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87A0-9C81-4562-85D1-08903DF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2337"/>
    <w:pPr>
      <w:keepNext/>
      <w:numPr>
        <w:numId w:val="1"/>
      </w:numPr>
      <w:spacing w:after="480" w:line="240" w:lineRule="auto"/>
      <w:jc w:val="both"/>
      <w:outlineLvl w:val="0"/>
    </w:pPr>
    <w:rPr>
      <w:rFonts w:eastAsia="Times New Roman"/>
      <w:color w:val="auto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2337"/>
    <w:pPr>
      <w:keepNext/>
      <w:numPr>
        <w:ilvl w:val="1"/>
        <w:numId w:val="1"/>
      </w:numPr>
      <w:spacing w:after="480" w:line="240" w:lineRule="auto"/>
      <w:jc w:val="both"/>
      <w:outlineLvl w:val="1"/>
    </w:pPr>
    <w:rPr>
      <w:rFonts w:eastAsia="Times New Roman"/>
      <w:color w:val="auto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2337"/>
    <w:pPr>
      <w:keepNext/>
      <w:numPr>
        <w:ilvl w:val="2"/>
        <w:numId w:val="1"/>
      </w:numPr>
      <w:spacing w:after="480" w:line="240" w:lineRule="auto"/>
      <w:jc w:val="both"/>
      <w:outlineLvl w:val="2"/>
    </w:pPr>
    <w:rPr>
      <w:rFonts w:eastAsia="Times New Roman"/>
      <w:color w:val="auto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2337"/>
    <w:pPr>
      <w:keepNext/>
      <w:numPr>
        <w:ilvl w:val="3"/>
        <w:numId w:val="1"/>
      </w:numPr>
      <w:spacing w:after="480" w:line="240" w:lineRule="auto"/>
      <w:jc w:val="both"/>
      <w:outlineLvl w:val="3"/>
    </w:pPr>
    <w:rPr>
      <w:rFonts w:eastAsia="Times New Roman"/>
      <w:color w:val="auto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6233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color w:val="auto"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62337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/>
      <w:i/>
      <w:color w:val="auto"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6233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color w:val="auto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6233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color w:val="auto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6233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i/>
      <w:color w:val="auto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62337"/>
    <w:rPr>
      <w:rFonts w:ascii="Arial" w:eastAsia="Times New Roman" w:hAnsi="Arial"/>
      <w:color w:val="auto"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62337"/>
    <w:rPr>
      <w:rFonts w:ascii="Arial" w:eastAsia="Times New Roman" w:hAnsi="Arial"/>
      <w:i/>
      <w:color w:val="auto"/>
      <w:sz w:val="2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62337"/>
    <w:rPr>
      <w:rFonts w:ascii="Arial" w:eastAsia="Times New Roman" w:hAnsi="Arial"/>
      <w:color w:val="auto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62337"/>
    <w:rPr>
      <w:rFonts w:ascii="Arial" w:eastAsia="Times New Roman" w:hAnsi="Arial"/>
      <w:i/>
      <w:color w:val="auto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62337"/>
    <w:rPr>
      <w:rFonts w:ascii="Arial" w:eastAsia="Times New Roman" w:hAnsi="Arial"/>
      <w:i/>
      <w:color w:val="auto"/>
      <w:sz w:val="18"/>
      <w:szCs w:val="20"/>
      <w:lang w:eastAsia="pt-BR"/>
    </w:rPr>
  </w:style>
  <w:style w:type="paragraph" w:customStyle="1" w:styleId="Ttulo4Alnea">
    <w:name w:val="Título 4 (Alínea)"/>
    <w:basedOn w:val="Normal"/>
    <w:rsid w:val="00362337"/>
    <w:pPr>
      <w:widowControl w:val="0"/>
      <w:tabs>
        <w:tab w:val="left" w:pos="1644"/>
      </w:tabs>
      <w:spacing w:after="480" w:line="240" w:lineRule="auto"/>
      <w:ind w:left="1644" w:hanging="567"/>
      <w:jc w:val="both"/>
    </w:pPr>
    <w:rPr>
      <w:rFonts w:eastAsia="Times New Roman"/>
      <w:color w:val="auto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BDF607-89D4-4087-AD7F-D6711A466069}"/>
</file>

<file path=customXml/itemProps2.xml><?xml version="1.0" encoding="utf-8"?>
<ds:datastoreItem xmlns:ds="http://schemas.openxmlformats.org/officeDocument/2006/customXml" ds:itemID="{A7963FB9-40C9-481C-84EB-7415AD1DB56D}"/>
</file>

<file path=customXml/itemProps3.xml><?xml version="1.0" encoding="utf-8"?>
<ds:datastoreItem xmlns:ds="http://schemas.openxmlformats.org/officeDocument/2006/customXml" ds:itemID="{960C727D-0E95-4270-AF68-DCB2BD006C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17</cp:revision>
  <dcterms:created xsi:type="dcterms:W3CDTF">2023-11-07T17:20:00Z</dcterms:created>
  <dcterms:modified xsi:type="dcterms:W3CDTF">2023-11-13T18:29:00Z</dcterms:modified>
</cp:coreProperties>
</file>